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F1" w:rsidRDefault="003F67F1" w:rsidP="003F67F1">
      <w:bookmarkStart w:id="0" w:name="_GoBack"/>
      <w:bookmarkEnd w:id="0"/>
      <w:r>
        <w:rPr>
          <w:rStyle w:val="10"/>
        </w:rPr>
        <w:t>高級中等學校辦理學生申訴案件自我檢核表</w:t>
      </w:r>
    </w:p>
    <w:p w:rsidR="003F67F1" w:rsidRDefault="003F67F1" w:rsidP="003F67F1">
      <w:pPr>
        <w:spacing w:afterLines="30" w:after="1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本檢核表乃依據「</w:t>
      </w:r>
      <w:r>
        <w:rPr>
          <w:rFonts w:ascii="標楷體" w:eastAsia="標楷體" w:hAnsi="標楷體" w:hint="eastAsia"/>
          <w:color w:val="000000"/>
          <w:szCs w:val="24"/>
        </w:rPr>
        <w:t>高級中等學校學生申訴及再申訴評議委員會組織及運作辦法」撰寫，供學校辦理申訴案件時參考依循，並請各校務必查閱相關參考條文以利申評會運作。</w:t>
      </w:r>
    </w:p>
    <w:tbl>
      <w:tblPr>
        <w:tblW w:w="98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"/>
        <w:gridCol w:w="8152"/>
        <w:gridCol w:w="1064"/>
      </w:tblGrid>
      <w:tr w:rsidR="003F67F1">
        <w:trPr>
          <w:tblHeader/>
          <w:jc w:val="center"/>
        </w:trPr>
        <w:tc>
          <w:tcPr>
            <w:tcW w:w="60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 w:hint="eastAsia"/>
                <w:color w:val="auto"/>
              </w:rPr>
              <w:t>項次</w:t>
            </w:r>
          </w:p>
        </w:tc>
        <w:tc>
          <w:tcPr>
            <w:tcW w:w="81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學校自行檢核要件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 w:hint="eastAsia"/>
                <w:color w:val="auto"/>
              </w:rPr>
              <w:t>參考條文</w:t>
            </w:r>
          </w:p>
        </w:tc>
      </w:tr>
      <w:tr w:rsidR="003F67F1">
        <w:trPr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"/>
              <w:spacing w:beforeLines="20" w:before="72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>案號：</w:t>
            </w:r>
            <w:r>
              <w:rPr>
                <w:rFonts w:hint="eastAsia"/>
                <w:color w:val="auto"/>
              </w:rPr>
              <w:t>___________________________</w:t>
            </w:r>
            <w:r>
              <w:rPr>
                <w:rFonts w:hint="eastAsia"/>
                <w:color w:val="auto"/>
              </w:rPr>
              <w:t>，申訴人姓名：</w:t>
            </w:r>
            <w:r>
              <w:rPr>
                <w:rFonts w:hint="eastAsia"/>
                <w:color w:val="auto"/>
              </w:rPr>
              <w:t>____________________</w:t>
            </w:r>
          </w:p>
          <w:p w:rsidR="003F67F1" w:rsidRDefault="003F67F1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學生個人→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已成年</w:t>
            </w:r>
          </w:p>
          <w:p w:rsidR="003F67F1" w:rsidRDefault="003F67F1">
            <w:pPr>
              <w:pStyle w:val="fk-1"/>
              <w:ind w:firstLineChars="39" w:firstLine="86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→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未成年→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法定代理人已知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法定代理人未知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ascii="微軟正黑體" w:hAnsi="微軟正黑體" w:hint="eastAsia"/>
                <w:color w:val="auto"/>
              </w:rPr>
              <w:t>學生集體 (</w:t>
            </w:r>
            <w:r>
              <w:rPr>
                <w:rFonts w:ascii="微軟正黑體" w:hAnsi="微軟正黑體" w:cs="Calibri" w:hint="eastAsia"/>
                <w:color w:val="auto"/>
              </w:rPr>
              <w:t>2</w:t>
            </w:r>
            <w:r>
              <w:rPr>
                <w:rFonts w:ascii="微軟正黑體" w:hAnsi="微軟正黑體" w:hint="eastAsia"/>
                <w:color w:val="auto"/>
              </w:rPr>
              <w:t>人以上)，代表人：</w:t>
            </w:r>
            <w:r>
              <w:rPr>
                <w:rFonts w:eastAsia="標楷體" w:hint="eastAsia"/>
                <w:color w:val="auto"/>
                <w:u w:val="single"/>
              </w:rPr>
              <w:t xml:space="preserve">                 </w:t>
            </w:r>
            <w:r>
              <w:rPr>
                <w:rFonts w:ascii="微軟正黑體" w:hAnsi="微軟正黑體" w:hint="eastAsia"/>
                <w:color w:val="auto"/>
              </w:rPr>
              <w:t>(檢附文件證明)</w:t>
            </w:r>
          </w:p>
          <w:p w:rsidR="003F67F1" w:rsidRDefault="003F67F1">
            <w:pPr>
              <w:pStyle w:val="fk-1"/>
              <w:spacing w:beforeLines="20" w:before="72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學生自治組織：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</w:rPr>
              <w:t xml:space="preserve">                         </w:t>
            </w:r>
          </w:p>
          <w:p w:rsidR="003F67F1" w:rsidRDefault="003F67F1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>申訴人是否有選任代理人及輔佐人？</w:t>
            </w:r>
            <w:r>
              <w:rPr>
                <w:rFonts w:hint="eastAsia"/>
                <w:color w:val="auto"/>
              </w:rPr>
              <w:t xml:space="preserve">  </w:t>
            </w:r>
          </w:p>
          <w:p w:rsidR="003F67F1" w:rsidRDefault="003F67F1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是，代理人及輔佐人：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檢附委任書</w:t>
            </w:r>
            <w:r>
              <w:rPr>
                <w:rFonts w:hint="eastAsia"/>
                <w:color w:val="auto"/>
              </w:rPr>
              <w:t>)</w:t>
            </w:r>
          </w:p>
          <w:p w:rsidR="003F67F1" w:rsidRDefault="003F67F1">
            <w:pPr>
              <w:pStyle w:val="fk-1"/>
              <w:spacing w:line="3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第4條</w:t>
            </w:r>
          </w:p>
        </w:tc>
      </w:tr>
      <w:tr w:rsidR="003F67F1">
        <w:trPr>
          <w:trHeight w:val="1334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"/>
              <w:spacing w:line="380" w:lineRule="exact"/>
              <w:ind w:left="306" w:hangingChars="102" w:hanging="306"/>
              <w:jc w:val="both"/>
              <w:rPr>
                <w:rFonts w:ascii="微軟正黑體" w:hAnsi="微軟正黑體"/>
                <w:color w:val="auto"/>
              </w:rPr>
            </w:pPr>
            <w:r>
              <w:rPr>
                <w:rFonts w:eastAsia="標楷體" w:cs="細明體" w:hint="eastAsia"/>
                <w:color w:val="auto"/>
                <w:spacing w:val="40"/>
              </w:rPr>
              <w:t>□</w:t>
            </w:r>
            <w:r>
              <w:rPr>
                <w:rFonts w:ascii="微軟正黑體" w:hAnsi="微軟正黑體" w:hint="eastAsia"/>
                <w:bCs/>
                <w:color w:val="auto"/>
              </w:rPr>
              <w:t xml:space="preserve">學生或學生自治組織對學校之懲處、其他措施或決議 </w:t>
            </w:r>
            <w:r>
              <w:rPr>
                <w:rFonts w:ascii="微軟正黑體" w:hAnsi="微軟正黑體" w:hint="eastAsia"/>
                <w:color w:val="auto"/>
              </w:rPr>
              <w:t>（</w:t>
            </w:r>
            <w:r>
              <w:rPr>
                <w:rFonts w:ascii="微軟正黑體" w:hAnsi="微軟正黑體" w:hint="eastAsia"/>
                <w:bCs/>
                <w:color w:val="auto"/>
              </w:rPr>
              <w:t>以下簡稱原措施</w:t>
            </w:r>
            <w:r>
              <w:rPr>
                <w:rFonts w:ascii="微軟正黑體" w:hAnsi="微軟正黑體" w:hint="eastAsia"/>
                <w:color w:val="auto"/>
              </w:rPr>
              <w:t>）</w:t>
            </w:r>
            <w:r>
              <w:rPr>
                <w:rFonts w:eastAsia="標楷體" w:hint="eastAsia"/>
                <w:color w:val="auto"/>
              </w:rPr>
              <w:t>，</w:t>
            </w:r>
            <w:r>
              <w:rPr>
                <w:rFonts w:ascii="微軟正黑體" w:hAnsi="微軟正黑體" w:hint="eastAsia"/>
                <w:bCs/>
                <w:color w:val="auto"/>
              </w:rPr>
              <w:t>認為違法或不當致損害其權益者</w:t>
            </w:r>
          </w:p>
          <w:p w:rsidR="003F67F1" w:rsidRDefault="003F67F1">
            <w:pPr>
              <w:pStyle w:val="fk-1"/>
              <w:spacing w:line="380" w:lineRule="exact"/>
              <w:ind w:leftChars="121" w:left="290"/>
              <w:rPr>
                <w:rFonts w:ascii="微軟正黑體" w:hAnsi="微軟正黑體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</w:rPr>
              <w:t>申訴人收受或知悉</w:t>
            </w:r>
            <w:r>
              <w:rPr>
                <w:rFonts w:ascii="微軟正黑體" w:hAnsi="微軟正黑體" w:hint="eastAsia"/>
                <w:bCs/>
                <w:color w:val="auto"/>
              </w:rPr>
              <w:t>原措施</w:t>
            </w:r>
            <w:r>
              <w:rPr>
                <w:rFonts w:ascii="微軟正黑體" w:hAnsi="微軟正黑體" w:hint="eastAsia"/>
                <w:color w:val="auto"/>
              </w:rPr>
              <w:t>日期：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年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月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日</w:t>
            </w:r>
          </w:p>
          <w:p w:rsidR="003F67F1" w:rsidRDefault="003F67F1">
            <w:pPr>
              <w:pStyle w:val="fk-1"/>
              <w:spacing w:line="380" w:lineRule="exact"/>
              <w:ind w:left="306" w:hangingChars="102" w:hanging="306"/>
              <w:jc w:val="both"/>
              <w:rPr>
                <w:rFonts w:ascii="微軟正黑體" w:hAnsi="微軟正黑體"/>
                <w:color w:val="auto"/>
              </w:rPr>
            </w:pPr>
            <w:r>
              <w:rPr>
                <w:rFonts w:eastAsia="標楷體" w:cs="細明體" w:hint="eastAsia"/>
                <w:color w:val="auto"/>
                <w:spacing w:val="40"/>
              </w:rPr>
              <w:t>□</w:t>
            </w:r>
            <w:r>
              <w:rPr>
                <w:rFonts w:ascii="微軟正黑體" w:hAnsi="微軟正黑體" w:hint="eastAsia"/>
                <w:bCs/>
                <w:color w:val="auto"/>
              </w:rPr>
              <w:t>學生或學生自治組織因學校對其依法申請之案件，於法定期間內 (法令未規定應作為之期間者，其期間自學校受理申請之日起為二個月) 應作為而不作為，認為損害其權益者</w:t>
            </w:r>
          </w:p>
          <w:p w:rsidR="003F67F1" w:rsidRDefault="003F67F1">
            <w:pPr>
              <w:pStyle w:val="fk-1"/>
              <w:spacing w:line="380" w:lineRule="exact"/>
              <w:ind w:leftChars="129" w:left="310"/>
              <w:rPr>
                <w:rFonts w:ascii="微軟正黑體" w:hAnsi="微軟正黑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請求</w:t>
            </w:r>
            <w:r>
              <w:rPr>
                <w:rFonts w:ascii="微軟正黑體" w:hAnsi="微軟正黑體" w:hint="eastAsia"/>
                <w:color w:val="auto"/>
              </w:rPr>
              <w:t>學校</w:t>
            </w:r>
            <w:r>
              <w:rPr>
                <w:rFonts w:ascii="微軟正黑體" w:hAnsi="微軟正黑體" w:cs="標楷體" w:hint="eastAsia"/>
                <w:color w:val="auto"/>
              </w:rPr>
              <w:t>作為而提出申請日期：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年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月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日</w:t>
            </w:r>
          </w:p>
          <w:p w:rsidR="003F67F1" w:rsidRDefault="003F67F1">
            <w:pPr>
              <w:pStyle w:val="fk-1"/>
              <w:spacing w:line="380" w:lineRule="exact"/>
              <w:ind w:leftChars="129" w:left="310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</w:rPr>
              <w:t>提起申訴日期：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年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月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日</w:t>
            </w:r>
          </w:p>
          <w:p w:rsidR="003F67F1" w:rsidRDefault="003F67F1">
            <w:pPr>
              <w:pStyle w:val="fk-1"/>
              <w:spacing w:line="380" w:lineRule="exact"/>
              <w:ind w:leftChars="129" w:left="310"/>
              <w:rPr>
                <w:color w:val="auto"/>
              </w:rPr>
            </w:pPr>
            <w:r>
              <w:rPr>
                <w:rFonts w:ascii="微軟正黑體" w:hAnsi="微軟正黑體" w:hint="eastAsia"/>
                <w:bCs/>
                <w:color w:val="auto"/>
              </w:rPr>
              <w:t>(申</w:t>
            </w:r>
            <w:r>
              <w:rPr>
                <w:rFonts w:ascii="微軟正黑體" w:hAnsi="微軟正黑體" w:hint="eastAsia"/>
                <w:color w:val="auto"/>
              </w:rPr>
              <w:t>訴書如有補正，補正日期為：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年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月</w:t>
            </w:r>
            <w:r>
              <w:rPr>
                <w:rFonts w:ascii="微軟正黑體" w:hAnsi="微軟正黑體" w:hint="eastAsia"/>
                <w:color w:val="auto"/>
                <w:u w:val="single"/>
              </w:rPr>
              <w:t xml:space="preserve">       </w:t>
            </w:r>
            <w:r>
              <w:rPr>
                <w:rFonts w:ascii="微軟正黑體" w:hAnsi="微軟正黑體"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bCs/>
                <w:color w:val="auto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第4條</w:t>
            </w:r>
          </w:p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第5條</w:t>
            </w:r>
          </w:p>
        </w:tc>
      </w:tr>
      <w:tr w:rsidR="003F67F1">
        <w:trPr>
          <w:trHeight w:val="2565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>學校申訴評議委員會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(以下簡稱申評會) 組</w:t>
            </w:r>
            <w:r>
              <w:rPr>
                <w:rFonts w:hint="eastAsia"/>
                <w:color w:val="auto"/>
                <w:lang w:val="zh-TW"/>
              </w:rPr>
              <w:t>成已符合規定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皆無兼任學生獎懲委員會委員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經選舉產生之學生代表或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學生會代表至少1人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人才庫名單中遴聘校外專家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學者至少1人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任一性別委員不少於委員總數三分之一</w:t>
            </w:r>
          </w:p>
          <w:p w:rsidR="003F67F1" w:rsidRDefault="003F67F1">
            <w:pPr>
              <w:pStyle w:val="fk-1"/>
              <w:ind w:left="645" w:hangingChars="293" w:hanging="645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處理特殊教育學生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申訴案件時，依辦法第</w:t>
            </w:r>
            <w:r>
              <w:rPr>
                <w:rFonts w:ascii="微軟正黑體" w:hAnsi="微軟正黑體" w:cs="Calibri" w:hint="eastAsia"/>
                <w:color w:val="auto"/>
                <w:lang w:val="zh-TW"/>
              </w:rPr>
              <w:t>3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條規定增聘校外特殊教育相關委員至</w:t>
            </w:r>
            <w:r>
              <w:rPr>
                <w:rFonts w:ascii="微軟正黑體" w:hAnsi="微軟正黑體" w:cs="Calibri" w:hint="eastAsia"/>
                <w:color w:val="auto"/>
                <w:lang w:val="zh-TW"/>
              </w:rPr>
              <w:t>少</w:t>
            </w:r>
            <w:r>
              <w:rPr>
                <w:rFonts w:ascii="微軟正黑體" w:hAnsi="微軟正黑體" w:cs="Calibri" w:hint="eastAsia"/>
                <w:color w:val="auto"/>
              </w:rPr>
              <w:t>2</w:t>
            </w:r>
            <w:r>
              <w:rPr>
                <w:rFonts w:ascii="微軟正黑體" w:hAnsi="微軟正黑體" w:cs="Calibri" w:hint="eastAsia"/>
                <w:color w:val="auto"/>
                <w:lang w:val="zh-TW"/>
              </w:rPr>
              <w:t>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第2條</w:t>
            </w:r>
          </w:p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第3條</w:t>
            </w:r>
          </w:p>
        </w:tc>
      </w:tr>
      <w:tr w:rsidR="003F67F1">
        <w:trPr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疑似涉及性別平等教育法提起申訴者，依性別平等教育法第五章相關規定辦理</w:t>
            </w:r>
          </w:p>
          <w:p w:rsidR="003F67F1" w:rsidRDefault="003F67F1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疑似涉及校園霸凌防制準則提起申訴，依校園霸凌防制準則規定辦理</w:t>
            </w:r>
          </w:p>
          <w:p w:rsidR="003F67F1" w:rsidRDefault="003F67F1">
            <w:pPr>
              <w:pStyle w:val="fk-1"/>
              <w:spacing w:line="380" w:lineRule="exact"/>
              <w:rPr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非屬前兩項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第8條</w:t>
            </w:r>
          </w:p>
        </w:tc>
      </w:tr>
      <w:tr w:rsidR="003F67F1">
        <w:trPr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lastRenderedPageBreak/>
              <w:t>5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>已書面檢附申訴書影本及相關書件，通知原措施學校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（單位）提</w:t>
            </w:r>
            <w:r>
              <w:rPr>
                <w:rFonts w:hint="eastAsia"/>
                <w:color w:val="auto"/>
              </w:rPr>
              <w:t>出說明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通知日期：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原措施學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校（單位）擬</w:t>
            </w:r>
            <w:r>
              <w:rPr>
                <w:rFonts w:hint="eastAsia"/>
                <w:color w:val="auto"/>
              </w:rPr>
              <w:t>具說明書連同關係文件送申評會及申訴人</w:t>
            </w:r>
          </w:p>
          <w:p w:rsidR="003F67F1" w:rsidRDefault="003F67F1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原措施學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校（單位）已自行</w:t>
            </w:r>
            <w:r>
              <w:rPr>
                <w:rFonts w:hint="eastAsia"/>
                <w:color w:val="auto"/>
              </w:rPr>
              <w:t>撤銷或變更原措施，並通知申評會及申訴人</w:t>
            </w:r>
          </w:p>
          <w:p w:rsidR="003F67F1" w:rsidRDefault="003F67F1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已書面通知申訴人及其法定代理人充分陳述意見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 7 條</w:t>
            </w:r>
          </w:p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第15條</w:t>
            </w:r>
          </w:p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</w:p>
        </w:tc>
      </w:tr>
      <w:tr w:rsidR="003F67F1">
        <w:trPr>
          <w:trHeight w:val="1264"/>
          <w:jc w:val="center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6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rPr>
                <w:color w:val="auto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</w:rPr>
              <w:t>申訴人撤回申訴免提申評會</w:t>
            </w:r>
            <w:r>
              <w:rPr>
                <w:rFonts w:eastAsia="標楷體" w:hint="eastAsia"/>
                <w:bCs/>
                <w:color w:val="auto"/>
                <w:kern w:val="2"/>
                <w:szCs w:val="22"/>
              </w:rPr>
              <w:t>（</w:t>
            </w:r>
            <w:r>
              <w:rPr>
                <w:rFonts w:hint="eastAsia"/>
                <w:color w:val="auto"/>
              </w:rPr>
              <w:t>檢附撤回申訴書</w:t>
            </w:r>
            <w:r>
              <w:rPr>
                <w:rFonts w:eastAsia="標楷體" w:hint="eastAsia"/>
                <w:bCs/>
                <w:color w:val="auto"/>
                <w:kern w:val="2"/>
                <w:szCs w:val="22"/>
              </w:rPr>
              <w:t>）</w:t>
            </w:r>
          </w:p>
          <w:p w:rsidR="003F67F1" w:rsidRDefault="003F67F1">
            <w:pPr>
              <w:pStyle w:val="fk-2"/>
              <w:ind w:firstLineChars="140" w:firstLine="3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申評會應終結申訴案件之評議，並以書面通知申訴人及其法定代理人。</w:t>
            </w:r>
          </w:p>
          <w:p w:rsidR="003F67F1" w:rsidRDefault="003F67F1">
            <w:pPr>
              <w:pStyle w:val="fk-2"/>
              <w:ind w:leftChars="117" w:left="281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(</w:t>
            </w:r>
            <w:r>
              <w:rPr>
                <w:rFonts w:hint="eastAsia"/>
                <w:b/>
                <w:color w:val="auto"/>
                <w:lang w:val="ja-JP" w:eastAsia="ja-JP"/>
              </w:rPr>
              <w:t>以下</w:t>
            </w:r>
            <w:r>
              <w:rPr>
                <w:rFonts w:hint="eastAsia"/>
                <w:b/>
                <w:color w:val="auto"/>
              </w:rPr>
              <w:t>免填請直接結案</w:t>
            </w:r>
            <w:r>
              <w:rPr>
                <w:rFonts w:hint="eastAsia"/>
                <w:b/>
                <w:color w:val="auto"/>
              </w:rPr>
              <w:t>)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第9條</w:t>
            </w:r>
          </w:p>
        </w:tc>
      </w:tr>
      <w:tr w:rsidR="003F67F1">
        <w:trPr>
          <w:trHeight w:val="454"/>
          <w:jc w:val="center"/>
        </w:trPr>
        <w:tc>
          <w:tcPr>
            <w:tcW w:w="98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vAlign w:val="center"/>
            <w:hideMark/>
          </w:tcPr>
          <w:p w:rsidR="003F67F1" w:rsidRDefault="003F67F1">
            <w:pPr>
              <w:widowControl/>
              <w:rPr>
                <w:rFonts w:eastAsia="微軟正黑體" w:cs="Calibri"/>
                <w:sz w:val="22"/>
              </w:rPr>
            </w:pP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spacing w:line="300" w:lineRule="exact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召開申評會，請繼續檢核以下項目</w:t>
            </w: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0DDEF"/>
            <w:vAlign w:val="center"/>
            <w:hideMark/>
          </w:tcPr>
          <w:p w:rsidR="003F67F1" w:rsidRDefault="003F67F1">
            <w:pPr>
              <w:widowControl/>
              <w:rPr>
                <w:rFonts w:ascii="微軟正黑體" w:eastAsia="微軟正黑體" w:hAnsi="微軟正黑體"/>
                <w:sz w:val="22"/>
                <w:lang w:val="zh-TW"/>
              </w:rPr>
            </w:pPr>
          </w:p>
        </w:tc>
      </w:tr>
      <w:tr w:rsidR="003F67F1">
        <w:trPr>
          <w:trHeight w:val="3120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cs="Calibri"/>
                <w:snapToGrid w:val="0"/>
              </w:rPr>
              <w:br w:type="page"/>
            </w:r>
            <w:r>
              <w:rPr>
                <w:rFonts w:ascii="Calibri" w:hAnsi="Calibri" w:cs="Calibri"/>
                <w:color w:val="auto"/>
              </w:rPr>
              <w:t>7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lang w:val="zh-TW"/>
              </w:rPr>
              <w:t>學校申評會會議已符合規定</w:t>
            </w:r>
          </w:p>
          <w:p w:rsidR="003F67F1" w:rsidRDefault="003F67F1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應有全體委員三分之二以上出席</w:t>
            </w:r>
          </w:p>
          <w:p w:rsidR="003F67F1" w:rsidRDefault="003F67F1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由委員互選一人擔任主席</w:t>
            </w:r>
          </w:p>
          <w:p w:rsidR="003F67F1" w:rsidRDefault="003F67F1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確實遵循迴避原則</w:t>
            </w:r>
          </w:p>
          <w:p w:rsidR="003F67F1" w:rsidRDefault="003F67F1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與會人員及其他工作人員均了解保密規定或簽有保密承諾書</w:t>
            </w:r>
          </w:p>
          <w:p w:rsidR="003F67F1" w:rsidRDefault="003F67F1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已提供申訴人及學校相關人員充分陳述意見及答辯之機會</w:t>
            </w:r>
          </w:p>
          <w:p w:rsidR="003F67F1" w:rsidRDefault="003F67F1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評議時採無記名投票表決方式為之</w:t>
            </w:r>
          </w:p>
          <w:p w:rsidR="003F67F1" w:rsidRDefault="003F67F1">
            <w:pPr>
              <w:pStyle w:val="fk-2"/>
              <w:ind w:leftChars="135" w:left="324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Calibri" w:hAnsi="Calibri" w:cs="Calibri" w:hint="eastAsia"/>
                <w:color w:val="auto"/>
                <w:lang w:val="zh-TW"/>
              </w:rPr>
              <w:t>出席委員過半數同意評議決定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第10條</w:t>
            </w:r>
          </w:p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第11條</w:t>
            </w:r>
          </w:p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第15條</w:t>
            </w:r>
          </w:p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第23條</w:t>
            </w:r>
          </w:p>
        </w:tc>
      </w:tr>
      <w:tr w:rsidR="003F67F1">
        <w:trPr>
          <w:trHeight w:val="1701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8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>申訴案件經申評會評議決議是否受理？</w:t>
            </w:r>
          </w:p>
          <w:p w:rsidR="003F67F1" w:rsidRDefault="003F67F1">
            <w:pPr>
              <w:pStyle w:val="fk-2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受理</w:t>
            </w:r>
          </w:p>
          <w:p w:rsidR="003F67F1" w:rsidRDefault="003F67F1">
            <w:pPr>
              <w:pStyle w:val="fk-2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不受理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(以下勾選原因)</w:t>
            </w:r>
          </w:p>
          <w:p w:rsidR="003F67F1" w:rsidRDefault="003F67F1">
            <w:pPr>
              <w:pStyle w:val="fk-2"/>
              <w:ind w:leftChars="135" w:left="324"/>
              <w:rPr>
                <w:color w:val="auto"/>
                <w:spacing w:val="40"/>
                <w:kern w:val="2"/>
                <w:szCs w:val="22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kern w:val="2"/>
                <w:szCs w:val="22"/>
              </w:rPr>
              <w:t>經通知限期補正而屆期未完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成者 (檢附通知書函副本)</w:t>
            </w:r>
          </w:p>
          <w:p w:rsidR="003F67F1" w:rsidRDefault="003F67F1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申訴人身分不符規定</w:t>
            </w:r>
          </w:p>
          <w:p w:rsidR="003F67F1" w:rsidRDefault="003F67F1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逾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期 (逾30日) </w:t>
            </w:r>
            <w:r>
              <w:rPr>
                <w:rFonts w:hint="eastAsia"/>
                <w:color w:val="auto"/>
                <w:lang w:val="zh-TW"/>
              </w:rPr>
              <w:t>提出申訴</w:t>
            </w:r>
          </w:p>
          <w:p w:rsidR="003F67F1" w:rsidRDefault="003F67F1">
            <w:pPr>
              <w:pStyle w:val="fk-2"/>
              <w:ind w:leftChars="135" w:left="324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原措施已不存在或申訴已無實益</w:t>
            </w:r>
          </w:p>
          <w:p w:rsidR="003F67F1" w:rsidRDefault="003F67F1">
            <w:pPr>
              <w:pStyle w:val="fk-2"/>
              <w:widowControl w:val="0"/>
              <w:ind w:leftChars="135" w:left="324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提起之申訴，應作為之學校已為措施</w:t>
            </w:r>
          </w:p>
          <w:p w:rsidR="003F67F1" w:rsidRDefault="003F67F1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同一件案件已處理完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畢 (</w:t>
            </w:r>
            <w:r>
              <w:rPr>
                <w:rFonts w:cs="新細明體" w:hint="eastAsia"/>
                <w:color w:val="auto"/>
              </w:rPr>
              <w:t>同</w:t>
            </w:r>
            <w:r>
              <w:rPr>
                <w:rFonts w:hint="eastAsia"/>
                <w:color w:val="auto"/>
                <w:lang w:val="zh-TW"/>
              </w:rPr>
              <w:t>案號：</w:t>
            </w:r>
            <w:r>
              <w:rPr>
                <w:rFonts w:hint="eastAsia"/>
                <w:color w:val="auto"/>
              </w:rPr>
              <w:t>___________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)</w:t>
            </w:r>
          </w:p>
          <w:p w:rsidR="003F67F1" w:rsidRDefault="003F67F1">
            <w:pPr>
              <w:pStyle w:val="fk-2"/>
              <w:ind w:leftChars="135" w:left="324"/>
              <w:rPr>
                <w:color w:val="auto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其他依法非屬學生申訴救濟範圍內之事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 6 條</w:t>
            </w:r>
          </w:p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第16條</w:t>
            </w:r>
          </w:p>
        </w:tc>
      </w:tr>
      <w:tr w:rsidR="003F67F1">
        <w:trPr>
          <w:trHeight w:val="1020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9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>申評會處理申訴案件，是否決議成立調查小組？</w:t>
            </w:r>
          </w:p>
          <w:p w:rsidR="003F67F1" w:rsidRDefault="003F67F1">
            <w:pPr>
              <w:pStyle w:val="fk-2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否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（請跳填11）</w:t>
            </w:r>
          </w:p>
          <w:p w:rsidR="003F67F1" w:rsidRDefault="003F67F1">
            <w:pPr>
              <w:pStyle w:val="fk-2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是</w:t>
            </w:r>
            <w:r>
              <w:rPr>
                <w:rFonts w:hint="eastAsia"/>
                <w:color w:val="auto"/>
              </w:rPr>
              <w:t>→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調查小組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lang w:val="zh-TW"/>
              </w:rPr>
              <w:t>人</w:t>
            </w:r>
            <w:r>
              <w:rPr>
                <w:rFonts w:hint="eastAsia"/>
                <w:color w:val="auto"/>
                <w:lang w:val="zh-TW"/>
              </w:rPr>
              <w:t xml:space="preserve"> 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(含</w:t>
            </w:r>
            <w:r>
              <w:rPr>
                <w:rFonts w:hint="eastAsia"/>
                <w:color w:val="auto"/>
                <w:lang w:val="zh-TW"/>
              </w:rPr>
              <w:t>外聘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lang w:val="zh-TW"/>
              </w:rPr>
              <w:t>人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第12條</w:t>
            </w:r>
          </w:p>
        </w:tc>
      </w:tr>
      <w:tr w:rsidR="003F67F1">
        <w:trPr>
          <w:trHeight w:val="397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rPr>
                <w:rFonts w:cs="標楷體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申評會調查過程已符合規定</w:t>
            </w:r>
          </w:p>
          <w:p w:rsidR="003F67F1" w:rsidRDefault="003F67F1">
            <w:pPr>
              <w:pStyle w:val="000"/>
              <w:rPr>
                <w:rFonts w:ascii="微軟正黑體" w:cs="微軟正黑體"/>
                <w:color w:val="000000"/>
                <w:sz w:val="2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</w:rPr>
              <w:t>以書面通知申訴人及相關人員配合調查及提供資料</w:t>
            </w:r>
          </w:p>
          <w:p w:rsidR="003F67F1" w:rsidRDefault="003F67F1">
            <w:pPr>
              <w:pStyle w:val="000"/>
              <w:rPr>
                <w:rFonts w:cs="標楷體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</w:rPr>
              <w:t>避免申訴人與學校相關人員對質</w:t>
            </w:r>
          </w:p>
          <w:p w:rsidR="003F67F1" w:rsidRDefault="003F67F1">
            <w:pPr>
              <w:pStyle w:val="fk-2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就學生之姓名及其他足以辨識身分之資料予以保密</w:t>
            </w:r>
          </w:p>
          <w:p w:rsidR="003F67F1" w:rsidRDefault="003F67F1">
            <w:pPr>
              <w:pStyle w:val="fk-2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調查小組組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成後15日</w:t>
            </w:r>
            <w:r>
              <w:rPr>
                <w:rFonts w:hint="eastAsia"/>
                <w:color w:val="auto"/>
                <w:lang w:val="zh-TW"/>
              </w:rPr>
              <w:t>內完成調查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（至多延長10日）</w:t>
            </w:r>
          </w:p>
          <w:p w:rsidR="003F67F1" w:rsidRDefault="003F67F1">
            <w:pPr>
              <w:pStyle w:val="fk-2"/>
              <w:rPr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zh-TW"/>
              </w:rPr>
              <w:t xml:space="preserve">   </w:t>
            </w:r>
            <w:r>
              <w:rPr>
                <w:rFonts w:hint="eastAsia"/>
                <w:color w:val="auto"/>
                <w:lang w:val="zh-TW"/>
              </w:rPr>
              <w:t>完成調查日期：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第13條</w:t>
            </w:r>
          </w:p>
        </w:tc>
      </w:tr>
      <w:tr w:rsidR="003F67F1">
        <w:trPr>
          <w:trHeight w:val="397"/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spacing w:line="240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2"/>
              <w:spacing w:line="240" w:lineRule="auto"/>
              <w:rPr>
                <w:rFonts w:ascii="微軟正黑體 Light" w:eastAsia="微軟正黑體 Light" w:hAnsi="微軟正黑體 Light"/>
                <w:color w:val="auto"/>
                <w:lang w:val="zh-TW"/>
              </w:rPr>
            </w:pPr>
            <w:r>
              <w:rPr>
                <w:rFonts w:ascii="細明體" w:eastAsia="細明體" w:hAnsi="細明體" w:cs="細明體" w:hint="eastAsia"/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評議決</w:t>
            </w:r>
            <w:r>
              <w:rPr>
                <w:rFonts w:ascii="微軟正黑體" w:hAnsi="微軟正黑體" w:hint="eastAsia"/>
                <w:color w:val="auto"/>
              </w:rPr>
              <w:t>定</w:t>
            </w:r>
            <w:r>
              <w:rPr>
                <w:rFonts w:ascii="微軟正黑體" w:hAnsi="微軟正黑體" w:hint="eastAsia"/>
                <w:bCs/>
                <w:color w:val="auto"/>
              </w:rPr>
              <w:t>於收受申訴書之次日起三十日內為之。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spacing w:line="240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 w:hint="eastAsia"/>
                <w:color w:val="auto"/>
              </w:rPr>
              <w:t>第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20條</w:t>
            </w:r>
          </w:p>
        </w:tc>
      </w:tr>
      <w:tr w:rsidR="003F67F1">
        <w:trPr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F67F1" w:rsidRDefault="003F67F1">
            <w:pPr>
              <w:pStyle w:val="fk-1"/>
              <w:rPr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評議決</w:t>
            </w:r>
            <w:r>
              <w:rPr>
                <w:rFonts w:hint="eastAsia"/>
                <w:color w:val="auto"/>
              </w:rPr>
              <w:t>定書做成日期為評議決定之次日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起10日內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  <w:lang w:val="zh-TW"/>
              </w:rPr>
            </w:pP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評議決定書內容已符合規定載明下列事項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申訴人基本資料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代理人基本資料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主文、事實及理由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申評會主席署名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不服評議決定之救濟方法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註記評議決定書作成日期</w:t>
            </w:r>
          </w:p>
          <w:p w:rsidR="003F67F1" w:rsidRDefault="003F67F1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</w:rPr>
              <w:t>附記再申訴提起規定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第20條</w:t>
            </w:r>
          </w:p>
        </w:tc>
      </w:tr>
      <w:tr w:rsidR="003F67F1">
        <w:trPr>
          <w:jc w:val="center"/>
        </w:trPr>
        <w:tc>
          <w:tcPr>
            <w:tcW w:w="6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13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F67F1" w:rsidRDefault="003F67F1">
            <w:pPr>
              <w:pStyle w:val="fk-1"/>
              <w:rPr>
                <w:rFonts w:cs="標楷體"/>
                <w:color w:val="auto"/>
                <w:lang w:val="zh-TW"/>
              </w:rPr>
            </w:pPr>
            <w:r>
              <w:rPr>
                <w:rFonts w:hint="eastAsia"/>
                <w:color w:val="auto"/>
                <w:lang w:val="zh-TW"/>
              </w:rPr>
              <w:t>申評會已以學校名義將評議決定書送達申訴人及其法定代理人</w:t>
            </w:r>
          </w:p>
          <w:p w:rsidR="003F67F1" w:rsidRDefault="003F67F1">
            <w:pPr>
              <w:pStyle w:val="fk-1"/>
              <w:rPr>
                <w:rFonts w:cs="標楷體"/>
                <w:color w:val="auto"/>
              </w:rPr>
            </w:pPr>
            <w:r>
              <w:rPr>
                <w:rFonts w:hint="eastAsia"/>
                <w:color w:val="auto"/>
                <w:lang w:val="zh-TW"/>
              </w:rPr>
              <w:t xml:space="preserve">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送達並確認簽收，本案結案</w:t>
            </w:r>
          </w:p>
          <w:p w:rsidR="003F67F1" w:rsidRDefault="003F67F1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pacing w:val="40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無法送達但已依行政程序法相關規定處理，本案結案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1CENTER"/>
              <w:rPr>
                <w:rFonts w:ascii="Calibri" w:hAnsi="Calibri" w:cs="Calibri"/>
                <w:color w:val="auto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第21條</w:t>
            </w:r>
          </w:p>
        </w:tc>
      </w:tr>
      <w:tr w:rsidR="003F67F1">
        <w:trPr>
          <w:trHeight w:val="870"/>
          <w:jc w:val="center"/>
        </w:trPr>
        <w:tc>
          <w:tcPr>
            <w:tcW w:w="9832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F67F1" w:rsidRDefault="003F67F1">
            <w:pPr>
              <w:pStyle w:val="fk-2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 w:hint="eastAsia"/>
                <w:color w:val="auto"/>
              </w:rPr>
              <w:t xml:space="preserve">業務承辦人：　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>
              <w:rPr>
                <w:rFonts w:ascii="Calibri" w:hAnsi="Calibri" w:cs="Calibri" w:hint="eastAsia"/>
                <w:color w:val="auto"/>
              </w:rPr>
              <w:t xml:space="preserve">　　　　　</w:t>
            </w:r>
            <w:r>
              <w:rPr>
                <w:rFonts w:ascii="Calibri" w:hAnsi="Calibri" w:cs="Calibri"/>
                <w:color w:val="auto"/>
              </w:rPr>
              <w:t xml:space="preserve">                  </w:t>
            </w:r>
            <w:r>
              <w:rPr>
                <w:rFonts w:ascii="Calibri" w:hAnsi="Calibri" w:cs="Calibri" w:hint="eastAsia"/>
                <w:color w:val="auto"/>
              </w:rPr>
              <w:t>申評會主席：</w:t>
            </w:r>
          </w:p>
        </w:tc>
      </w:tr>
    </w:tbl>
    <w:p w:rsidR="003F67F1" w:rsidRDefault="003F67F1" w:rsidP="003F67F1">
      <w:pPr>
        <w:pStyle w:val="1"/>
        <w:spacing w:before="180" w:after="180"/>
        <w:ind w:left="458" w:hanging="458"/>
        <w:rPr>
          <w:rFonts w:ascii="Calibri" w:eastAsia="新細明體" w:hAnsi="Calibri" w:cs="Times New Roman"/>
          <w:b w:val="0"/>
          <w:bCs w:val="0"/>
          <w:color w:val="auto"/>
          <w:spacing w:val="0"/>
          <w:sz w:val="24"/>
          <w:szCs w:val="22"/>
        </w:rPr>
      </w:pPr>
    </w:p>
    <w:p w:rsidR="00E2778E" w:rsidRDefault="00FA4CE1" w:rsidP="003F67F1"/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F1"/>
    <w:rsid w:val="00101397"/>
    <w:rsid w:val="003F67F1"/>
    <w:rsid w:val="008655E2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F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3F67F1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3F67F1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3F67F1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3F67F1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F67F1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3F67F1"/>
    <w:rPr>
      <w:color w:val="auto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F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3F67F1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3F67F1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3F67F1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3F67F1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F67F1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3F67F1"/>
    <w:rPr>
      <w:color w:val="auto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2022-08-18T02:33:00Z</dcterms:created>
  <dcterms:modified xsi:type="dcterms:W3CDTF">2022-08-18T02:33:00Z</dcterms:modified>
</cp:coreProperties>
</file>