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02DC7" w14:textId="77777777" w:rsidR="00675532" w:rsidRPr="00272C8D" w:rsidRDefault="00EA536E" w:rsidP="00BB1EE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台南市崑山高級中學</w:t>
      </w:r>
      <w:r w:rsidR="00BB1EEC">
        <w:rPr>
          <w:rFonts w:ascii="標楷體" w:eastAsia="標楷體" w:hAnsi="標楷體" w:hint="eastAsia"/>
          <w:b/>
          <w:sz w:val="36"/>
          <w:szCs w:val="36"/>
        </w:rPr>
        <w:t>辦理教育部國民及學前教育署補助高級中等學校精進優質</w:t>
      </w:r>
      <w:r w:rsidR="001131FD" w:rsidRPr="00272C8D">
        <w:rPr>
          <w:rFonts w:ascii="標楷體" w:eastAsia="標楷體" w:hAnsi="標楷體" w:hint="eastAsia"/>
          <w:b/>
          <w:sz w:val="36"/>
          <w:szCs w:val="36"/>
        </w:rPr>
        <w:t>計畫-104-1-教師專業增能精進計畫</w:t>
      </w:r>
    </w:p>
    <w:p w14:paraId="4AE02DC8" w14:textId="77777777" w:rsidR="00272C8D" w:rsidRDefault="00B11574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依據：教育部國民及學前教育署補助高級中等學校精進優質</w:t>
      </w:r>
      <w:r w:rsidRPr="00891EFE">
        <w:rPr>
          <w:rFonts w:ascii="標楷體" w:eastAsia="標楷體" w:hAnsi="標楷體" w:hint="eastAsia"/>
          <w:bCs/>
          <w:sz w:val="28"/>
        </w:rPr>
        <w:t>計畫子計畫104-1執行</w:t>
      </w:r>
      <w:r w:rsidRPr="00891EFE">
        <w:rPr>
          <w:rFonts w:ascii="標楷體" w:eastAsia="標楷體" w:hAnsi="標楷體" w:hint="eastAsia"/>
          <w:sz w:val="28"/>
        </w:rPr>
        <w:t>。</w:t>
      </w:r>
    </w:p>
    <w:p w14:paraId="4AE02DC9" w14:textId="77777777" w:rsidR="00272C8D" w:rsidRDefault="00272C8D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目的：</w:t>
      </w:r>
    </w:p>
    <w:p w14:paraId="4AE02DCA" w14:textId="77777777" w:rsidR="00272C8D" w:rsidRP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發展普通學科適性課程。</w:t>
      </w:r>
    </w:p>
    <w:p w14:paraId="4AE02DCB" w14:textId="77777777" w:rsidR="00272C8D" w:rsidRP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提升教材多元性，以提供高中職及特殊學校</w:t>
      </w:r>
      <w:r w:rsidRPr="00272C8D">
        <w:rPr>
          <w:rFonts w:ascii="標楷體" w:eastAsia="標楷體" w:hAnsi="標楷體"/>
          <w:sz w:val="28"/>
        </w:rPr>
        <w:t>(</w:t>
      </w:r>
      <w:r w:rsidRPr="00272C8D">
        <w:rPr>
          <w:rFonts w:ascii="標楷體" w:eastAsia="標楷體" w:hAnsi="標楷體" w:hint="eastAsia"/>
          <w:sz w:val="28"/>
        </w:rPr>
        <w:t>班</w:t>
      </w:r>
      <w:r w:rsidRPr="00272C8D">
        <w:rPr>
          <w:rFonts w:ascii="標楷體" w:eastAsia="標楷體" w:hAnsi="標楷體"/>
          <w:sz w:val="28"/>
        </w:rPr>
        <w:t>)</w:t>
      </w:r>
      <w:r w:rsidRPr="00272C8D">
        <w:rPr>
          <w:rFonts w:ascii="標楷體" w:eastAsia="標楷體" w:hAnsi="標楷體" w:hint="eastAsia"/>
          <w:sz w:val="28"/>
        </w:rPr>
        <w:t>學生適性發展。</w:t>
      </w:r>
    </w:p>
    <w:p w14:paraId="4AE02DCC" w14:textId="77777777" w:rsid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提升融合教育教學效能</w:t>
      </w:r>
    </w:p>
    <w:p w14:paraId="4AE02DCD" w14:textId="77777777" w:rsidR="00272C8D" w:rsidRPr="00272C8D" w:rsidRDefault="00272C8D" w:rsidP="00272C8D">
      <w:pPr>
        <w:pStyle w:val="a4"/>
        <w:numPr>
          <w:ilvl w:val="0"/>
          <w:numId w:val="6"/>
        </w:numPr>
        <w:kinsoku w:val="0"/>
        <w:snapToGrid w:val="0"/>
        <w:spacing w:after="200" w:line="360" w:lineRule="exact"/>
        <w:ind w:leftChars="0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藉由工作坊機制，開發適性教材、教具與評量工具，以提升普通教育</w:t>
      </w:r>
      <w:r w:rsidRPr="00272C8D">
        <w:rPr>
          <w:rFonts w:ascii="標楷體" w:eastAsia="標楷體" w:hAnsi="標楷體" w:cs="新細明體" w:hint="eastAsia"/>
          <w:kern w:val="0"/>
          <w:sz w:val="26"/>
          <w:szCs w:val="26"/>
        </w:rPr>
        <w:t>學科</w:t>
      </w:r>
      <w:r w:rsidRPr="00272C8D">
        <w:rPr>
          <w:rFonts w:ascii="Times New Roman" w:eastAsia="標楷體" w:hAnsi="Times New Roman" w:cs="Times New Roman" w:hint="eastAsia"/>
          <w:kern w:val="0"/>
          <w:sz w:val="26"/>
          <w:szCs w:val="28"/>
        </w:rPr>
        <w:t>教育效能。</w:t>
      </w:r>
    </w:p>
    <w:p w14:paraId="4AE02DCE" w14:textId="77777777" w:rsidR="00B11574" w:rsidRPr="00891EFE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對象：本校教職員預計</w:t>
      </w:r>
      <w:r w:rsidR="00EB3725">
        <w:rPr>
          <w:rFonts w:ascii="標楷體" w:eastAsia="標楷體" w:hAnsi="標楷體" w:hint="eastAsia"/>
          <w:sz w:val="28"/>
        </w:rPr>
        <w:t>15</w:t>
      </w:r>
      <w:r w:rsidRPr="00891EFE">
        <w:rPr>
          <w:rFonts w:ascii="標楷體" w:eastAsia="標楷體" w:hAnsi="標楷體" w:hint="eastAsia"/>
          <w:sz w:val="28"/>
        </w:rPr>
        <w:t>人次。</w:t>
      </w:r>
    </w:p>
    <w:p w14:paraId="4AE02DCF" w14:textId="4814F8DE" w:rsidR="00B11574" w:rsidRPr="00B11574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B11574">
        <w:rPr>
          <w:rFonts w:ascii="標楷體" w:eastAsia="標楷體" w:hAnsi="標楷體" w:hint="eastAsia"/>
          <w:sz w:val="28"/>
        </w:rPr>
        <w:t>活動方式：以講座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工作坊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實作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分享</w:t>
      </w:r>
      <w:r w:rsidRPr="00B11574">
        <w:rPr>
          <w:rFonts w:ascii="標楷體" w:eastAsia="標楷體" w:hAnsi="標楷體"/>
          <w:sz w:val="28"/>
        </w:rPr>
        <w:t>…</w:t>
      </w:r>
      <w:r w:rsidR="00405453">
        <w:rPr>
          <w:rFonts w:ascii="標楷體" w:eastAsia="標楷體" w:hAnsi="標楷體" w:hint="eastAsia"/>
          <w:sz w:val="28"/>
        </w:rPr>
        <w:t>等活動進行，第二</w:t>
      </w:r>
      <w:r w:rsidRPr="00B11574">
        <w:rPr>
          <w:rFonts w:ascii="標楷體" w:eastAsia="標楷體" w:hAnsi="標楷體" w:hint="eastAsia"/>
          <w:sz w:val="28"/>
        </w:rPr>
        <w:t>期期程：</w:t>
      </w:r>
      <w:r w:rsidR="00405453">
        <w:rPr>
          <w:rFonts w:ascii="標楷體" w:eastAsia="標楷體" w:hAnsi="標楷體" w:hint="eastAsia"/>
          <w:sz w:val="28"/>
        </w:rPr>
        <w:t>105</w:t>
      </w:r>
      <w:r w:rsidRPr="00B11574">
        <w:rPr>
          <w:rFonts w:ascii="標楷體" w:eastAsia="標楷體" w:hAnsi="標楷體" w:hint="eastAsia"/>
          <w:sz w:val="28"/>
        </w:rPr>
        <w:t>年</w:t>
      </w:r>
      <w:r w:rsidR="00405453">
        <w:rPr>
          <w:rFonts w:ascii="標楷體" w:eastAsia="標楷體" w:hAnsi="標楷體" w:hint="eastAsia"/>
          <w:sz w:val="28"/>
        </w:rPr>
        <w:t>4</w:t>
      </w:r>
      <w:r w:rsidRPr="00B11574">
        <w:rPr>
          <w:rFonts w:ascii="標楷體" w:eastAsia="標楷體" w:hAnsi="標楷體" w:hint="eastAsia"/>
          <w:sz w:val="28"/>
        </w:rPr>
        <w:t>月-</w:t>
      </w:r>
      <w:r w:rsidR="0024782B">
        <w:rPr>
          <w:rFonts w:ascii="標楷體" w:eastAsia="標楷體" w:hAnsi="標楷體" w:hint="eastAsia"/>
          <w:sz w:val="28"/>
        </w:rPr>
        <w:t>7</w:t>
      </w:r>
      <w:r w:rsidRPr="00B11574">
        <w:rPr>
          <w:rFonts w:ascii="標楷體" w:eastAsia="標楷體" w:hAnsi="標楷體" w:hint="eastAsia"/>
          <w:sz w:val="28"/>
        </w:rPr>
        <w:t>月。</w:t>
      </w:r>
      <w:bookmarkStart w:id="0" w:name="_GoBack"/>
      <w:bookmarkEnd w:id="0"/>
    </w:p>
    <w:p w14:paraId="4AE02DD0" w14:textId="77777777" w:rsidR="001131FD" w:rsidRDefault="00B11574" w:rsidP="00CB7B27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131FD">
        <w:rPr>
          <w:rFonts w:ascii="標楷體" w:eastAsia="標楷體" w:hAnsi="標楷體" w:hint="eastAsia"/>
          <w:sz w:val="28"/>
          <w:szCs w:val="28"/>
        </w:rPr>
        <w:t>教師增能工作坊課程</w:t>
      </w:r>
      <w:r>
        <w:rPr>
          <w:rFonts w:ascii="標楷體" w:eastAsia="標楷體" w:hAnsi="標楷體" w:hint="eastAsia"/>
          <w:sz w:val="28"/>
          <w:szCs w:val="28"/>
        </w:rPr>
        <w:t>規劃</w:t>
      </w:r>
    </w:p>
    <w:p w14:paraId="4AE02DD1" w14:textId="77777777" w:rsidR="00272C8D" w:rsidRPr="00B11574" w:rsidRDefault="00272C8D" w:rsidP="00272C8D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(一)課程規劃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71"/>
        <w:gridCol w:w="1067"/>
        <w:gridCol w:w="671"/>
        <w:gridCol w:w="671"/>
        <w:gridCol w:w="5759"/>
        <w:gridCol w:w="1134"/>
      </w:tblGrid>
      <w:tr w:rsidR="001701B1" w:rsidRPr="001131FD" w14:paraId="4AE02DD7" w14:textId="77777777" w:rsidTr="0024782B">
        <w:trPr>
          <w:trHeight w:val="387"/>
        </w:trPr>
        <w:tc>
          <w:tcPr>
            <w:tcW w:w="871" w:type="dxa"/>
            <w:vMerge w:val="restart"/>
          </w:tcPr>
          <w:p w14:paraId="4AE02DD2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067" w:type="dxa"/>
            <w:vMerge w:val="restart"/>
          </w:tcPr>
          <w:p w14:paraId="4AE02DD3" w14:textId="77777777"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342" w:type="dxa"/>
            <w:gridSpan w:val="2"/>
          </w:tcPr>
          <w:p w14:paraId="4AE02DD4" w14:textId="77777777"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759" w:type="dxa"/>
            <w:vMerge w:val="restart"/>
          </w:tcPr>
          <w:p w14:paraId="4AE02DD5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vMerge w:val="restart"/>
          </w:tcPr>
          <w:p w14:paraId="4AE02DD6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701B1" w:rsidRPr="001131FD" w14:paraId="4AE02DDE" w14:textId="77777777" w:rsidTr="0024782B">
        <w:trPr>
          <w:trHeight w:val="70"/>
        </w:trPr>
        <w:tc>
          <w:tcPr>
            <w:tcW w:w="871" w:type="dxa"/>
            <w:vMerge/>
          </w:tcPr>
          <w:p w14:paraId="4AE02DD8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14:paraId="4AE02DD9" w14:textId="77777777" w:rsidR="006940FB" w:rsidRPr="001131FD" w:rsidRDefault="006940FB" w:rsidP="002508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14:paraId="4AE02DDA" w14:textId="77777777"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71" w:type="dxa"/>
          </w:tcPr>
          <w:p w14:paraId="4AE02DDB" w14:textId="77777777" w:rsidR="006940FB" w:rsidRPr="001131FD" w:rsidRDefault="006940FB" w:rsidP="006940F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759" w:type="dxa"/>
            <w:vMerge/>
          </w:tcPr>
          <w:p w14:paraId="4AE02DDC" w14:textId="77777777" w:rsidR="006940FB" w:rsidRPr="001131FD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AE02DDD" w14:textId="77777777" w:rsidR="006940FB" w:rsidRDefault="006940FB" w:rsidP="001131F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782B" w:rsidRPr="001131FD" w14:paraId="4AE02DE6" w14:textId="77777777" w:rsidTr="0024782B">
        <w:trPr>
          <w:trHeight w:val="630"/>
        </w:trPr>
        <w:tc>
          <w:tcPr>
            <w:tcW w:w="871" w:type="dxa"/>
            <w:vMerge w:val="restart"/>
            <w:vAlign w:val="center"/>
          </w:tcPr>
          <w:p w14:paraId="4AE02DDF" w14:textId="2945C980" w:rsidR="0024782B" w:rsidRPr="001131FD" w:rsidRDefault="0024782B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067" w:type="dxa"/>
            <w:vMerge w:val="restart"/>
            <w:vAlign w:val="center"/>
          </w:tcPr>
          <w:p w14:paraId="4AE02DE0" w14:textId="371F8E61" w:rsidR="0024782B" w:rsidRDefault="0024782B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陳嘉弘</w:t>
            </w:r>
          </w:p>
          <w:p w14:paraId="4AE02DE1" w14:textId="77777777" w:rsidR="0024782B" w:rsidRPr="001131FD" w:rsidRDefault="0024782B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671" w:type="dxa"/>
          </w:tcPr>
          <w:p w14:paraId="4AE02DE2" w14:textId="18BF107E" w:rsidR="0024782B" w:rsidRPr="001131FD" w:rsidRDefault="0024782B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14:paraId="4AE02DE3" w14:textId="33C9F5AB" w:rsidR="0024782B" w:rsidRPr="001131FD" w:rsidRDefault="0024782B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759" w:type="dxa"/>
          </w:tcPr>
          <w:p w14:paraId="4AE02DE4" w14:textId="3A9BC09C" w:rsidR="0024782B" w:rsidRPr="001701B1" w:rsidRDefault="0024782B" w:rsidP="001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1.認知功能缺損學生學習英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文科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之討論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</w:tcPr>
          <w:p w14:paraId="4AE02DE5" w14:textId="790286DD" w:rsidR="0024782B" w:rsidRPr="001131FD" w:rsidRDefault="0024782B" w:rsidP="00272C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3H/次</w:t>
            </w:r>
          </w:p>
        </w:tc>
      </w:tr>
      <w:tr w:rsidR="0024782B" w:rsidRPr="001131FD" w14:paraId="4AE02DED" w14:textId="77777777" w:rsidTr="0024782B">
        <w:trPr>
          <w:trHeight w:val="630"/>
        </w:trPr>
        <w:tc>
          <w:tcPr>
            <w:tcW w:w="871" w:type="dxa"/>
            <w:vMerge/>
            <w:vAlign w:val="center"/>
          </w:tcPr>
          <w:p w14:paraId="4AE02DE7" w14:textId="77777777" w:rsidR="0024782B" w:rsidRPr="001131FD" w:rsidRDefault="0024782B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14:paraId="4AE02DE8" w14:textId="77777777" w:rsidR="0024782B" w:rsidRDefault="0024782B" w:rsidP="001701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14:paraId="4AE02DE9" w14:textId="392FE819" w:rsidR="0024782B" w:rsidRPr="001131FD" w:rsidRDefault="0024782B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14:paraId="4AE02DEA" w14:textId="4065352B" w:rsidR="0024782B" w:rsidRPr="001131FD" w:rsidRDefault="0024782B" w:rsidP="005B1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759" w:type="dxa"/>
          </w:tcPr>
          <w:p w14:paraId="4AE02DEB" w14:textId="1A4835BF" w:rsidR="0024782B" w:rsidRPr="001701B1" w:rsidRDefault="0024782B" w:rsidP="0017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認知功能缺損學生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文科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教材教法討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論。</w:t>
            </w:r>
          </w:p>
        </w:tc>
        <w:tc>
          <w:tcPr>
            <w:tcW w:w="1134" w:type="dxa"/>
          </w:tcPr>
          <w:p w14:paraId="4AE02DEC" w14:textId="2B57DF17" w:rsidR="0024782B" w:rsidRDefault="0024782B" w:rsidP="00272C8D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62221">
              <w:rPr>
                <w:rFonts w:ascii="標楷體" w:eastAsia="標楷體" w:hAnsi="標楷體" w:hint="eastAsia"/>
                <w:sz w:val="28"/>
                <w:szCs w:val="28"/>
              </w:rPr>
              <w:t>H/次</w:t>
            </w:r>
          </w:p>
        </w:tc>
      </w:tr>
    </w:tbl>
    <w:p w14:paraId="4AE02DF5" w14:textId="77777777" w:rsidR="00EA536E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14:paraId="4AE02DF6" w14:textId="17A2463D" w:rsidR="00A611F7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</w:t>
      </w:r>
      <w:r w:rsidR="0024782B">
        <w:rPr>
          <w:rFonts w:ascii="標楷體" w:eastAsia="標楷體" w:hAnsi="標楷體" w:hint="eastAsia"/>
          <w:sz w:val="28"/>
          <w:szCs w:val="28"/>
        </w:rPr>
        <w:t>即日期至7月6日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AE02DF7" w14:textId="77777777"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自行登入特教通報網</w:t>
      </w:r>
      <w:hyperlink r:id="rId8" w:history="1">
        <w:r w:rsidRPr="00A35AA9">
          <w:rPr>
            <w:rStyle w:val="a5"/>
            <w:rFonts w:ascii="標楷體" w:eastAsia="標楷體" w:hAnsi="標楷體" w:hint="eastAsia"/>
            <w:color w:val="000000" w:themeColor="text1"/>
            <w:sz w:val="28"/>
            <w:szCs w:val="28"/>
          </w:rPr>
          <w:t>www.set.edu.tw</w:t>
        </w:r>
      </w:hyperlink>
      <w:r>
        <w:rPr>
          <w:rFonts w:ascii="標楷體" w:eastAsia="標楷體" w:hAnsi="標楷體" w:hint="eastAsia"/>
          <w:sz w:val="28"/>
          <w:szCs w:val="28"/>
        </w:rPr>
        <w:t>報名。</w:t>
      </w:r>
    </w:p>
    <w:p w14:paraId="4AE02DF8" w14:textId="77777777"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聯絡窗口：輔導處陳嘉弘主任(連絡電話：2364408轉144)</w:t>
      </w:r>
    </w:p>
    <w:p w14:paraId="4AE02DF9" w14:textId="77777777" w:rsidR="00EA536E" w:rsidRPr="00EA536E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經費：</w:t>
      </w:r>
      <w:r w:rsidRPr="00891EFE">
        <w:rPr>
          <w:rFonts w:ascii="標楷體" w:eastAsia="標楷體" w:hAnsi="標楷體" w:hint="eastAsia"/>
          <w:sz w:val="28"/>
        </w:rPr>
        <w:t>教育部國民及學前教育署補助高級中等學校精進優質</w:t>
      </w:r>
      <w:r w:rsidRPr="00891EFE">
        <w:rPr>
          <w:rFonts w:ascii="標楷體" w:eastAsia="標楷體" w:hAnsi="標楷體" w:hint="eastAsia"/>
          <w:bCs/>
          <w:sz w:val="28"/>
        </w:rPr>
        <w:t>計畫子計畫</w:t>
      </w:r>
      <w:r>
        <w:rPr>
          <w:rFonts w:ascii="標楷體" w:eastAsia="標楷體" w:hAnsi="標楷體" w:hint="eastAsia"/>
          <w:bCs/>
          <w:sz w:val="28"/>
        </w:rPr>
        <w:t>支應。</w:t>
      </w:r>
    </w:p>
    <w:p w14:paraId="4AE02DFA" w14:textId="77777777" w:rsidR="0012701B" w:rsidRPr="0012701B" w:rsidRDefault="00EA536E" w:rsidP="0012701B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lastRenderedPageBreak/>
        <w:t>其他：未盡事宜陳校長核示後，依規定辦理。</w:t>
      </w:r>
    </w:p>
    <w:sectPr w:rsidR="0012701B" w:rsidRPr="0012701B" w:rsidSect="00EA536E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15DE9" w14:textId="77777777" w:rsidR="00327A0F" w:rsidRDefault="00327A0F" w:rsidP="00A35AA9">
      <w:r>
        <w:separator/>
      </w:r>
    </w:p>
  </w:endnote>
  <w:endnote w:type="continuationSeparator" w:id="0">
    <w:p w14:paraId="7F27A8F8" w14:textId="77777777" w:rsidR="00327A0F" w:rsidRDefault="00327A0F" w:rsidP="00A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43026" w14:textId="77777777" w:rsidR="00327A0F" w:rsidRDefault="00327A0F" w:rsidP="00A35AA9">
      <w:r>
        <w:separator/>
      </w:r>
    </w:p>
  </w:footnote>
  <w:footnote w:type="continuationSeparator" w:id="0">
    <w:p w14:paraId="49767982" w14:textId="77777777" w:rsidR="00327A0F" w:rsidRDefault="00327A0F" w:rsidP="00A3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FE3"/>
    <w:multiLevelType w:val="hybridMultilevel"/>
    <w:tmpl w:val="8A484BC4"/>
    <w:lvl w:ilvl="0" w:tplc="037625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014022"/>
    <w:multiLevelType w:val="hybridMultilevel"/>
    <w:tmpl w:val="C18EEC44"/>
    <w:lvl w:ilvl="0" w:tplc="28EEA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84C42"/>
    <w:multiLevelType w:val="hybridMultilevel"/>
    <w:tmpl w:val="69D21140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612441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48484226"/>
    <w:multiLevelType w:val="hybridMultilevel"/>
    <w:tmpl w:val="C12A1A2A"/>
    <w:lvl w:ilvl="0" w:tplc="87A084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718357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160731"/>
    <w:multiLevelType w:val="hybridMultilevel"/>
    <w:tmpl w:val="E348EA66"/>
    <w:lvl w:ilvl="0" w:tplc="5BEA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FD"/>
    <w:rsid w:val="00101EEA"/>
    <w:rsid w:val="001131FD"/>
    <w:rsid w:val="0012701B"/>
    <w:rsid w:val="00146866"/>
    <w:rsid w:val="001701B1"/>
    <w:rsid w:val="001B0258"/>
    <w:rsid w:val="0024782B"/>
    <w:rsid w:val="00250872"/>
    <w:rsid w:val="00256FAD"/>
    <w:rsid w:val="00272C8D"/>
    <w:rsid w:val="00327A0F"/>
    <w:rsid w:val="00365B85"/>
    <w:rsid w:val="00405453"/>
    <w:rsid w:val="00467434"/>
    <w:rsid w:val="00472642"/>
    <w:rsid w:val="004F626D"/>
    <w:rsid w:val="005927D9"/>
    <w:rsid w:val="00647245"/>
    <w:rsid w:val="0065231A"/>
    <w:rsid w:val="00670BC6"/>
    <w:rsid w:val="00675532"/>
    <w:rsid w:val="006940FB"/>
    <w:rsid w:val="00753F9E"/>
    <w:rsid w:val="007C43C7"/>
    <w:rsid w:val="008151E7"/>
    <w:rsid w:val="00873802"/>
    <w:rsid w:val="008A3EFC"/>
    <w:rsid w:val="0094302C"/>
    <w:rsid w:val="00A07CC2"/>
    <w:rsid w:val="00A13376"/>
    <w:rsid w:val="00A35AA9"/>
    <w:rsid w:val="00A611F7"/>
    <w:rsid w:val="00A97BF0"/>
    <w:rsid w:val="00AE26DD"/>
    <w:rsid w:val="00B004C7"/>
    <w:rsid w:val="00B11574"/>
    <w:rsid w:val="00B4294D"/>
    <w:rsid w:val="00B9341A"/>
    <w:rsid w:val="00BB1EEC"/>
    <w:rsid w:val="00C173FD"/>
    <w:rsid w:val="00C32BF9"/>
    <w:rsid w:val="00CB7B27"/>
    <w:rsid w:val="00D43983"/>
    <w:rsid w:val="00D71A4F"/>
    <w:rsid w:val="00DE53B7"/>
    <w:rsid w:val="00E131F2"/>
    <w:rsid w:val="00E61A60"/>
    <w:rsid w:val="00E83469"/>
    <w:rsid w:val="00EA536E"/>
    <w:rsid w:val="00EB3725"/>
    <w:rsid w:val="00EB6740"/>
    <w:rsid w:val="00EE549B"/>
    <w:rsid w:val="00F7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02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872"/>
    <w:pPr>
      <w:ind w:leftChars="200" w:left="480"/>
    </w:pPr>
  </w:style>
  <w:style w:type="character" w:styleId="a5">
    <w:name w:val="Hyperlink"/>
    <w:basedOn w:val="a0"/>
    <w:uiPriority w:val="99"/>
    <w:unhideWhenUsed/>
    <w:rsid w:val="00EA53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A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A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872"/>
    <w:pPr>
      <w:ind w:leftChars="200" w:left="480"/>
    </w:pPr>
  </w:style>
  <w:style w:type="character" w:styleId="a5">
    <w:name w:val="Hyperlink"/>
    <w:basedOn w:val="a0"/>
    <w:uiPriority w:val="99"/>
    <w:unhideWhenUsed/>
    <w:rsid w:val="00EA53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A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A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2016-06-03T00:57:00Z</cp:lastPrinted>
  <dcterms:created xsi:type="dcterms:W3CDTF">2016-06-03T01:41:00Z</dcterms:created>
  <dcterms:modified xsi:type="dcterms:W3CDTF">2016-07-04T09:19:00Z</dcterms:modified>
</cp:coreProperties>
</file>